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赞皇县纪检委2019年部门预算信息公开情况说明</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按照</w:t>
      </w:r>
      <w:r>
        <w:rPr>
          <w:rFonts w:hint="eastAsia" w:ascii="仿宋_GB2312" w:hAnsi="仿宋_GB2312" w:eastAsia="仿宋_GB2312" w:cs="仿宋_GB2312"/>
          <w:sz w:val="32"/>
          <w:shd w:val="clear" w:color="auto" w:fill="FFFFFF"/>
          <w:lang w:eastAsia="zh-CN"/>
        </w:rPr>
        <w:t>《中华人民共和国预算法》</w:t>
      </w:r>
      <w:r>
        <w:rPr>
          <w:rFonts w:hint="eastAsia" w:ascii="仿宋_GB2312" w:hAnsi="仿宋_GB2312" w:eastAsia="仿宋_GB2312" w:cs="仿宋_GB2312"/>
          <w:sz w:val="32"/>
          <w:shd w:val="clear" w:color="auto" w:fill="FFFFFF"/>
        </w:rPr>
        <w:t>、《地方预决算公开操作规程》和《河北省省级预算公开办法》规定，现将2019年部门预算公开如下：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firstLineChars="200"/>
        <w:rPr>
          <w:rFonts w:hint="eastAsia" w:ascii="仿宋_GB2312" w:hAnsi="仿宋_GB2312" w:eastAsia="仿宋_GB2312" w:cs="仿宋_GB2312"/>
          <w:sz w:val="32"/>
          <w:shd w:val="clear" w:color="auto" w:fill="FFFFFF"/>
        </w:rPr>
      </w:pPr>
      <w:r>
        <w:rPr>
          <w:rFonts w:hint="eastAsia" w:ascii="黑体" w:hAnsi="黑体" w:eastAsia="黑体" w:cs="Times New Roman"/>
          <w:sz w:val="32"/>
          <w:szCs w:val="32"/>
        </w:rPr>
        <w:t>部门</w:t>
      </w:r>
      <w:r>
        <w:rPr>
          <w:rFonts w:ascii="黑体" w:hAnsi="黑体" w:eastAsia="黑体" w:cs="Times New Roman"/>
          <w:sz w:val="32"/>
          <w:szCs w:val="32"/>
        </w:rPr>
        <w:t>职责：</w:t>
      </w:r>
      <w:bookmarkStart w:id="3" w:name="_GoBack"/>
      <w:r>
        <w:rPr>
          <w:rFonts w:hint="eastAsia" w:ascii="仿宋_GB2312" w:hAnsi="仿宋_GB2312" w:eastAsia="仿宋_GB2312" w:cs="仿宋_GB2312"/>
          <w:sz w:val="32"/>
          <w:shd w:val="clear" w:color="auto" w:fill="FFFFFF"/>
        </w:rPr>
        <w:t>中共赞皇县纪律检查委员会、赞皇县监察委合署办公，实行一套工作机构两个机关名称的体制；履行党的纪律检查和政府行政监察两项职能，对县委和市纪委全面负责。</w:t>
      </w:r>
    </w:p>
    <w:bookmarkEnd w:id="3"/>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机构设置：</w:t>
      </w:r>
    </w:p>
    <w:p>
      <w:pPr>
        <w:jc w:val="center"/>
        <w:outlineLvl w:val="0"/>
        <w:rPr>
          <w:rFonts w:ascii="黑体" w:hAnsi="黑体" w:eastAsia="黑体" w:cs="Times New Roman"/>
          <w:sz w:val="32"/>
          <w:szCs w:val="32"/>
        </w:rPr>
      </w:pPr>
      <w:bookmarkStart w:id="0" w:name="_Toc536176205"/>
      <w:r>
        <w:rPr>
          <w:rFonts w:hint="eastAsia" w:ascii="黑体" w:hAnsi="黑体" w:eastAsia="黑体" w:cs="Times New Roman"/>
          <w:sz w:val="32"/>
          <w:szCs w:val="32"/>
        </w:rPr>
        <w:t>部门机构设置情况表</w:t>
      </w:r>
      <w:bookmarkEnd w:id="0"/>
    </w:p>
    <w:tbl>
      <w:tblPr>
        <w:tblStyle w:val="8"/>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75"/>
        <w:gridCol w:w="1486"/>
        <w:gridCol w:w="1276"/>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8"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纪检委</w:t>
            </w:r>
          </w:p>
        </w:tc>
        <w:tc>
          <w:tcPr>
            <w:tcW w:w="425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475"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48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经费保障形式</w:t>
            </w:r>
          </w:p>
        </w:tc>
        <w:tc>
          <w:tcPr>
            <w:tcW w:w="709"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车辆实有数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编制人数</w:t>
            </w:r>
          </w:p>
        </w:tc>
        <w:tc>
          <w:tcPr>
            <w:tcW w:w="1418" w:type="dxa"/>
            <w:gridSpan w:val="2"/>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在职人数</w:t>
            </w:r>
          </w:p>
        </w:tc>
        <w:tc>
          <w:tcPr>
            <w:tcW w:w="2127" w:type="dxa"/>
            <w:gridSpan w:val="3"/>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475" w:type="dxa"/>
            <w:vMerge w:val="continue"/>
            <w:shd w:val="clear" w:color="auto" w:fill="auto"/>
            <w:vAlign w:val="center"/>
          </w:tcPr>
          <w:p>
            <w:pPr>
              <w:spacing w:line="300" w:lineRule="exact"/>
              <w:jc w:val="left"/>
              <w:outlineLvl w:val="0"/>
            </w:pPr>
          </w:p>
        </w:tc>
        <w:tc>
          <w:tcPr>
            <w:tcW w:w="1486"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353" w:type="dxa"/>
            <w:vMerge w:val="continue"/>
            <w:shd w:val="clear" w:color="auto" w:fill="auto"/>
            <w:vAlign w:val="center"/>
          </w:tcPr>
          <w:p>
            <w:pPr>
              <w:spacing w:line="300" w:lineRule="exact"/>
              <w:jc w:val="left"/>
              <w:outlineLvl w:val="0"/>
            </w:pPr>
          </w:p>
        </w:tc>
        <w:tc>
          <w:tcPr>
            <w:tcW w:w="709" w:type="dxa"/>
            <w:vMerge w:val="continue"/>
            <w:shd w:val="clear" w:color="auto" w:fill="auto"/>
            <w:vAlign w:val="center"/>
          </w:tcPr>
          <w:p>
            <w:pPr>
              <w:spacing w:line="300" w:lineRule="exact"/>
              <w:jc w:val="left"/>
              <w:outlineLvl w:val="0"/>
            </w:pP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行政</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事业</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离休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退休</w:t>
            </w:r>
          </w:p>
        </w:tc>
        <w:tc>
          <w:tcPr>
            <w:tcW w:w="709"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75"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合</w:t>
            </w:r>
            <w:r>
              <w:rPr>
                <w:rFonts w:ascii="方正书宋_GBK" w:eastAsia="方正书宋_GBK"/>
                <w:b/>
              </w:rPr>
              <w:t xml:space="preserve">    </w:t>
            </w:r>
            <w:r>
              <w:rPr>
                <w:rFonts w:hint="eastAsia" w:ascii="方正书宋_GBK" w:eastAsia="方正书宋_GBK"/>
                <w:b/>
              </w:rPr>
              <w:t>计</w:t>
            </w:r>
          </w:p>
        </w:tc>
        <w:tc>
          <w:tcPr>
            <w:tcW w:w="1486" w:type="dxa"/>
            <w:shd w:val="clear" w:color="auto" w:fill="auto"/>
            <w:vAlign w:val="center"/>
          </w:tcPr>
          <w:p>
            <w:pPr>
              <w:spacing w:line="300" w:lineRule="exact"/>
              <w:jc w:val="center"/>
              <w:rPr>
                <w:rFonts w:ascii="方正书宋_GBK" w:eastAsia="方正书宋_GBK"/>
                <w:b/>
              </w:rPr>
            </w:pPr>
          </w:p>
        </w:tc>
        <w:tc>
          <w:tcPr>
            <w:tcW w:w="1276" w:type="dxa"/>
            <w:shd w:val="clear" w:color="auto" w:fill="auto"/>
            <w:vAlign w:val="center"/>
          </w:tcPr>
          <w:p>
            <w:pPr>
              <w:spacing w:line="300" w:lineRule="exact"/>
              <w:jc w:val="center"/>
              <w:rPr>
                <w:rFonts w:ascii="方正书宋_GBK" w:eastAsia="方正书宋_GBK"/>
                <w:b/>
              </w:rPr>
            </w:pPr>
          </w:p>
        </w:tc>
        <w:tc>
          <w:tcPr>
            <w:tcW w:w="2353"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r>
              <w:rPr>
                <w:rFonts w:hint="eastAsia" w:asciiTheme="minorEastAsia" w:hAnsiTheme="minorEastAsia"/>
                <w:b/>
              </w:rPr>
              <w:t>7</w:t>
            </w: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82</w:t>
            </w:r>
          </w:p>
        </w:tc>
        <w:tc>
          <w:tcPr>
            <w:tcW w:w="709"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hint="eastAsia" w:asciiTheme="minorEastAsia" w:hAnsiTheme="minorEastAsia"/>
                <w:b/>
              </w:rPr>
              <w:t>5</w:t>
            </w:r>
          </w:p>
        </w:tc>
        <w:tc>
          <w:tcPr>
            <w:tcW w:w="709"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475"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中国共产党赞皇县纪律检查委员会</w:t>
            </w:r>
          </w:p>
        </w:tc>
        <w:tc>
          <w:tcPr>
            <w:tcW w:w="148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行政</w:t>
            </w:r>
          </w:p>
        </w:tc>
        <w:tc>
          <w:tcPr>
            <w:tcW w:w="12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正科级</w:t>
            </w:r>
          </w:p>
        </w:tc>
        <w:tc>
          <w:tcPr>
            <w:tcW w:w="2353"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财政拨款</w:t>
            </w:r>
          </w:p>
        </w:tc>
        <w:tc>
          <w:tcPr>
            <w:tcW w:w="709" w:type="dxa"/>
            <w:shd w:val="clear" w:color="auto" w:fill="auto"/>
            <w:vAlign w:val="center"/>
          </w:tcPr>
          <w:p>
            <w:pPr>
              <w:spacing w:line="300" w:lineRule="exact"/>
              <w:jc w:val="center"/>
              <w:rPr>
                <w:rFonts w:ascii="方正书宋_GBK" w:eastAsia="方正书宋_GBK"/>
              </w:rPr>
            </w:pPr>
            <w:r>
              <w:rPr>
                <w:rFonts w:hint="eastAsia" w:asciiTheme="minorEastAsia" w:hAnsiTheme="minorEastAsia"/>
              </w:rPr>
              <w:t>7</w:t>
            </w: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82</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r>
              <w:rPr>
                <w:rFonts w:ascii="方正书宋_GBK" w:eastAsia="方正书宋_GBK"/>
              </w:rPr>
              <w:t>3</w:t>
            </w:r>
            <w:r>
              <w:rPr>
                <w:rFonts w:hint="eastAsia" w:asciiTheme="minorEastAsia" w:hAnsiTheme="minorEastAsia"/>
              </w:rPr>
              <w:t>5</w:t>
            </w: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r>
    </w:tbl>
    <w:p>
      <w:pPr>
        <w:spacing w:line="300" w:lineRule="exact"/>
        <w:jc w:val="left"/>
        <w:outlineLvl w:val="0"/>
        <w:sectPr>
          <w:pgSz w:w="16839" w:h="11907" w:orient="landscape"/>
          <w:pgMar w:top="1020" w:right="1361" w:bottom="1020" w:left="1361" w:header="851" w:footer="992" w:gutter="0"/>
          <w:cols w:space="425" w:num="1"/>
          <w:docGrid w:type="lines" w:linePitch="312" w:charSpace="0"/>
        </w:sectPr>
      </w:pP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按照预算管理有关规定，目前我县部门预算的编制实行综合预算管理，即全部收入和支出都反映在预算中。赞皇县纪检委的收支包含在部门预算中。</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1、收入说明</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反映本部门当年全部收入。2019年预算收入899.61万元，其中：一般公共预算收入899.61万元，基金预算收入0万元，财政专户核拨收入0万元，其他来源收入0万元。</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2、支出说明</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收支预算总表支出栏、基本支出表、项目支出表按经济分类和支出功能分类科目编制，反映赞皇县纪检委年度部门预算中支出预算的总体情况。2019年支出预算899.61万元，其中基本支出809.61万元，包括人员经费338.25万元和日常公用经费471.36万元；项目支出90万元，全部为本级支出，主要为巡察工作经费、涉密终端扩容、乡镇纪委组织建设。</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3、比上年增减情况</w:t>
      </w:r>
    </w:p>
    <w:p>
      <w:pPr>
        <w:ind w:firstLine="648"/>
        <w:rPr>
          <w:rFonts w:ascii="仿宋" w:hAnsi="仿宋" w:eastAsia="仿宋" w:cs="仿宋"/>
          <w:sz w:val="32"/>
          <w:szCs w:val="32"/>
        </w:rPr>
      </w:pPr>
      <w:r>
        <w:rPr>
          <w:rFonts w:hint="eastAsia" w:ascii="仿宋_GB2312" w:hAnsi="仿宋_GB2312" w:eastAsia="仿宋_GB2312" w:cs="仿宋_GB2312"/>
          <w:sz w:val="32"/>
          <w:shd w:val="clear" w:color="auto" w:fill="FFFFFF"/>
        </w:rPr>
        <w:t>2019年预算收支安排899.61万元，较2018年预算增加195.06万元，其中：基本支出增加215.06万元，主要为日常公用经费支出增加；项目支出减少20万元，主要原因为工作需要。</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8"/>
        <w:rPr>
          <w:rFonts w:ascii="仿宋_GB2312" w:hAnsi="仿宋_GB2312" w:eastAsia="仿宋_GB2312" w:cs="仿宋_GB2312"/>
          <w:sz w:val="32"/>
          <w:szCs w:val="32"/>
        </w:rPr>
      </w:pPr>
      <w:r>
        <w:rPr>
          <w:rFonts w:hint="eastAsia" w:ascii="仿宋_GB2312" w:hAnsi="仿宋_GB2312" w:eastAsia="仿宋_GB2312" w:cs="仿宋_GB2312"/>
          <w:sz w:val="32"/>
          <w:shd w:val="clear" w:color="auto" w:fill="FFFFFF"/>
        </w:rPr>
        <w:t>2019年，我委机关运行经费共计安排471.36万元，主要用于保证机关正常运转的办案、办公及印刷费、邮电费、差旅费、会议费、福利费、专用材料及一般设备购置费、办公用房水电费、办公用房取暖费、日常维修费、办公楼物业管理费、公务车运行维护费等日常运行支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2019年，我委财政拨款“三公”经费预算安排83.56万元，其中因公出国（境）费0万元，与上年持平；公务用车购置及运维费78万元（其中：公务用车购置费为0万元，与上年持平；公务用车运维费78万元，与上年相比增加20万元，原因是：监察委改革，增加公务用车，相应增加公务用车运维费)；公务接待费5.56万，与上年持平。与2018年相比三公经费增加20万元，增加的主要原因是：监察委改革，增加公务用车，相应增加公务用车运维费。</w:t>
      </w:r>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ascii="Times New Roman" w:hAnsi="Times New Roman" w:eastAsia="方正仿宋_GBK" w:cs="Times New Roman"/>
          <w:b/>
          <w:sz w:val="32"/>
          <w:szCs w:val="32"/>
        </w:rPr>
      </w:pPr>
      <w:bookmarkStart w:id="1" w:name="_Toc471398463"/>
      <w:r>
        <w:rPr>
          <w:rFonts w:ascii="Times New Roman" w:hAnsi="Times New Roman" w:eastAsia="方正仿宋_GBK" w:cs="Times New Roman"/>
          <w:b/>
          <w:sz w:val="32"/>
          <w:szCs w:val="32"/>
        </w:rPr>
        <w:t>总体绩效目标：</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以习近平新时代中国特色社会主义思想为指导，全面贯彻落实党的十九大精神，按照各级纪委全会部署要求，紧紧围绕县党代会描绘的宏伟蓝图和县委、县政府各项重点工作，以挺纪在前，践行“四种形态”为保障，履行好党内监督专责，深入推进反腐败工作标本兼治进程；以强化教育管理和内部监督为支撑，努力建设忠诚、干净、担当的纪检铁军，忠实履行党章、监察法赋予的监督执纪问责和监督调查处置“双重职责”，用好党章党规党纪和宪法法律法规“两把尺子”，为建设生态赞皇、大美赞皇提供坚强的纪律保证。</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1、加强纪律建设，推进“两个责任”有效落实</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一是加强党的纪律建设。要把守纪律、讲规矩摆在更加重要的位置，严肃党内政治生活。围绕习近平总书记指出的“七个有之”，加大查处力度，严格问责追究，使纪律真正通上“高压电”。</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二是严格落实“两个责任”。建立健全有责任、有计划、有重点、有机制的责任体系，积极协助县委落实党风廉政建设主体责任，逐级细化分解党风廉政建设和反腐败工作年度目标任务，认真开展党风廉政建设责任制检查考核，强化责任追究。</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三是坚决落实“一案三查”。动员千次，不如问责一次。问责一个，警醒一片。加强日常监督、专项检查和巡察，对不认真履行“两个责任”的领导班子和领导干部实施约谈和问责。严格落实“一案三查”制度，既追究主体责任、监督责任，又严肃追究领导责任。严格执行责任追究办法，建立责任追究情况报告制度，对典型案件予以通报曝光。</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2、落实八项规定，</w:t>
      </w:r>
      <w:r>
        <w:rPr>
          <w:rFonts w:hint="eastAsia" w:ascii="仿宋_GB2312" w:hAnsi="仿宋_GB2312" w:eastAsia="仿宋_GB2312" w:cs="仿宋_GB2312"/>
          <w:sz w:val="32"/>
          <w:shd w:val="clear" w:color="auto" w:fill="FFFFFF"/>
          <w:lang w:val="en-US" w:eastAsia="zh-CN"/>
        </w:rPr>
        <w:t>驰</w:t>
      </w:r>
      <w:r>
        <w:rPr>
          <w:rFonts w:hint="eastAsia" w:ascii="仿宋_GB2312" w:hAnsi="仿宋_GB2312" w:eastAsia="仿宋_GB2312" w:cs="仿宋_GB2312"/>
          <w:sz w:val="32"/>
          <w:shd w:val="clear" w:color="auto" w:fill="FFFFFF"/>
        </w:rPr>
        <w:t>而不息加强作风建设</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一是强化日常监督检查。坚持抓常、抓细、抓长，紧紧盯住重要节点、重点领域、重点人群，采取日常检查、重点抽查、明察暗访等形式作为日常检查和巡察的重要内容。</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二是加大责任追究力度。加强对违反中央八项规定精神行为的执纪问责，加大对十八大后还不收敛不收手的、问题线索反映集中的、群众反映强烈的、现在重要岗位且可能还要提拔使用的，发现一起，查处一起，通报一起，既从严处理当事人，又严肃追究相关领导责任，用严格的执纪增强警示和威慑作用。</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三是建立长效约束机制。定期分析研判党员干部作风建设状况，及时甄别、排查和梳理苗头性、倾向性问题，在实践中细化制度规定，明确尺度标准，强化刚性约束。</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3、保持高压态势，在法治框架下严惩腐败</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一是拓展问题线索渠道。畅通信访举报渠道，认真调查处理信访举报反映的问题，切实发挥信访举报的问题线索主渠道作用。注重发挥反腐败协调小组作用，加强办案工作协作配合，完善执纪执法机关线索移送机制，增强有效突破大案要案的合力。</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二是突出纪律审查重点。坚持有腐必反、有贪必肃。坚持法治思维和法治方式，把依纪依法、安全文明办案作为铁的纪律贯穿于纪律审查工作的始终，严格遵守审查程序和审查纪律，切实提高办案效率。</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三是发挥纪律审查效能。着力营造“不想腐”的政治生态。对群众关注度高、反映强烈，特别是网络媒体热议的案件，适时向社会公开，接受群众监督。</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4、规范权力运行，深化惩防腐败体系建设</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一是强化制度防控。着眼加强对权力运行的制约和监督，把全面深化改革与完善反腐败体制机制建设有机结合。以制度设计为保障，以科技手段为支撑，逐步打造权责明晰、流程规范、措施有力、制度管用、预警及时的廉政风险防控体系。</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二是强化权力制约。对党员领导干部出现的苗头性问题做到早发现、早提醒、早纠正、早查处，防止小错酿成大错。坚持宽严相济，分清个人“失德”和改革“失误”，保护干部干事创业的积极性。推动法律监督、民主监督和群众监督在反腐败工作中发挥更大作用。</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三是强化督查问责。严格按照相关法律法规，立足“监督的再监督、检查的再检查”，积极推进依法行政。加强对重大决策和行政执法活动的监督，对决策严重失误、执法腐败、不作为、乱作为等问题严格责任追究，确保中央、省市县重要决策得到不折不扣的贯彻执行，确保重大事项、重点工作得到全力推进。</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5、深化体制改革，锻造忠诚尽职干部队伍</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一是推进改革创新。继续深化转职能、转方式、转作风，全面落实党的纪律检查体制改革要求，根据上级部署，进一加强乡镇纪委组织建设。</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二是加强能力建设。积极营造学习钻研的浓厚氛围，紧贴新形势新任务新要求，加大干部教育培训力度，切实增强依纪依法履行职责的本领。</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三是严格自我监督。进一步加强纪委监委班子和干部队伍建设，进一步规范工作程序和业务流程，综合运用信息化手段，建立健全内部监督制约机制。强化纪律约束，切实防止“灯下黑”，以铁的纪律打造忠诚、干净、有担当的纪检监察干部队伍。</w:t>
      </w:r>
    </w:p>
    <w:p>
      <w:pPr>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职责分类绩效目标：</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1、执纪问责</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职责描述：受理信访、举报，集中管理问题线索、组织协调案件查办，调查、审查违纪违法案件，对案件审理提出处理意见。</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绩效目标：维护党纪国法尊严，坚决惩处腐败分子，有效遏制腐败现象。严肃查处各项违纪违法案件，坚决维护党纪国法尊严。</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 xml:space="preserve">2、党风廉政建设 </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职责描述：负责组织协调全县党风廉政建设和反腐败宣传工作，组织开展相关法律法规、理论政策、形势任务、决策部署、成效经验和先进典型等宣传及舆论引导工作;协调全县党风廉政建设和反腐败教育工作，开展对党员、公务员的理想信念和宗旨教育、党风党纪和廉洁自律教育，组织协调廉政文化建设及纪检监察电化教育工作。综合协调政治纪律的执行和作风建设规定、廉洁自律规定的落实，开展有关党风政风监督专项检查，综合协调对违反作风建设规定问题的查处。</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积极发挥职能作用，加强党风廉政建设，营造风清气正、干事创业的工作氛。充分发挥正面典型的示范作用和反面典型的警示作用，促进各级干部廉洁从政。认真查找腐败问题易发多发的重点领域和关键环节，研究分析腐败现象的规律，制定针对性强的防控措施。</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3、督促检查及综合协调</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职责描述：督促检查中央纪委（国家监察委），省纪委（省监察委）、市纪委（市监察委）和县委、县政府领导批办交办事项的落实情况，以及县纪委全委会工作部署和县纪委</w:t>
      </w:r>
      <w:r>
        <w:rPr>
          <w:rFonts w:hint="eastAsia" w:ascii="仿宋_GB2312" w:hAnsi="仿宋_GB2312" w:eastAsia="仿宋_GB2312" w:cs="仿宋_GB2312"/>
          <w:sz w:val="32"/>
          <w:shd w:val="clear" w:color="auto" w:fill="FFFFFF"/>
          <w:lang w:eastAsia="zh-CN"/>
        </w:rPr>
        <w:t>常委会会议</w:t>
      </w:r>
      <w:r>
        <w:rPr>
          <w:rFonts w:hint="eastAsia" w:ascii="仿宋_GB2312" w:hAnsi="仿宋_GB2312" w:eastAsia="仿宋_GB2312" w:cs="仿宋_GB2312"/>
          <w:sz w:val="32"/>
          <w:shd w:val="clear" w:color="auto" w:fill="FFFFFF"/>
        </w:rPr>
        <w:t>、书记办公会、监委主任办公会议决定事项及委领导批办交办事项的落实情况。</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绩效目标：加大监督检查力度，促进综合协调发展。实现巡察监督常态化、全覆盖。</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4、纪检事务管理</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职责描述：负责全县纪检监察系统领导班子建设、干部队伍建设和组织建设的综合规划、政策研究和制度建设。负责纪委（监委）机关各部门及直属单位领导班子和干部队伍建设，承办有关机构编制、干部人事、人员档案、工资福利等工作，配合机关党委督促机关各部门及直属单位加强干部日常管理和监督;及干部教育培训工作等。</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绩效目标：为纪律审查、纪检监察业务、党风廉政建设提供服务和保障。</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5、纪检监察系统管理</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职责描述：负责对县管干部问题线索进行集中管理，并分送相关纪检监察室，协助办理县管干部任职前回复县委组织部意见工作;监督检查全县纪检监察系统干部遵守和执行党章以及其他党内法规，遵守和执行党的路线方针政策和决议、国家法律法规等方面的情况;协助党委制定惩治和预防腐败体系工作规划实施意见，综合协调责任单位落实任务分工，组织协调重要监督检查活动和考核工作。</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绩效目标：加强全县纪检监察系统领导班子、干部队伍和组织建设，打造一支高素质、高水平的纪检监察干部队伍。</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6、综合监察监督管理</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职责描述：负责对县管干部问题线索进行集中管理，并分送相关纪检监察室，协助办理县管干部任职前回复县委组织部意见工作;监督检查全县纪检监察系统干部遵守和执行党章以及其他党内法规，遵守和执行党的路线方针政策和决议、国家法律法规等方面的情况;协助党委制定惩治和预防腐败体系工作规划实施意见，综合协调责任单位落实任务分工，组织协调重要监督检查活动和考核工作。</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绩效目标：实现监察监督全覆盖。受理下级纪检机关线索处置和查办报告及督促案件安全查办和责任追究加强纪检监察干部监督，指导监察干部监督工作。</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7、查办职务犯罪</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职责描述：通过查办职务犯罪案件，促进国家工作人员依法行使职权。参与办理重大职务犯罪案件的调查及个案调查工作；分析全县职务犯罪的特点和规律，提出对策；办理全县在逃职务犯罪案件追逃追赃工作，推进办案信息化和装备现代化建设。</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绩效目标：查办贪污贿赂犯罪和渎职侵权犯罪案件工作，发现一件，查处一件，依法严惩职务犯罪。</w:t>
      </w: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实现年度发展规划目标的保障措施</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为充分履行我单位部门职责，达到绩效目标要求，并保证年度发展规划目标的顺利实现，从以下几方面实施：</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1、落实“两个责任”清单</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按照《赞皇县党风廉政建设主任责任和监督责任清单》；加大责任追究力度，落实“一案双查”对不担责、不作为的，坚决给予追究；2019年完成制定贯彻落实中央关于对各级党政部门主要负责人加强监督有关规定具体办法、建立完善领导干部包括主要领导干部向上级纪委全会述廉述责并接受评议质询的有关制度、健全完善干部选拔任用“一报告两评议”、履行用人职责离任检查等制度。</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2、严格贯彻落实中央八项规定</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主要措施:紧盯节假日，一个节点一个节点地正风肃纪，严肃查处顶风违纪问题；大力整治超标准占用办公用房、违规公款吃喝、财政供养人员经商办企业等，持之以恒纠正“四风”。</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3、持续强化反腐败力度</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落实“三转”要求，强化执纪监督问责任；重点查处十八大以后不收手、问题线索反映集中、群众反映强烈，现在重要岗位且可能还要提拔的领导干部；坚持抓早抓小、见微知著，对党员干部苗头性、倾向性问题，早发现、早报告、早处置；针对党风廉政和反腐败建设中有效管用的具体制度建立不多的问题，加强建章立制工作，并健全对制度的腐败风险定期评估机制；2019年完善和建立重大决策定期报告制度、领导决策终身责任追究制度、建立健全“四个不直接分管”监督检查制度。</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4、深入开展警示教育</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开展廉政文化活动，继续创建和规范打造各具特色的廉政文化示范点工作；以案例为鉴开展警示教育；及时传达纪检监察信息，收集社会舆情；创新形式，浓厚廉政氛围；深入开展《中国共产党廉洁自律准则》《中国共产党纪律处分条例》《中国共产党巡视工作条例》</w:t>
      </w:r>
      <w:r>
        <w:rPr>
          <w:rFonts w:hint="eastAsia" w:ascii="仿宋_GB2312" w:hAnsi="仿宋_GB2312" w:eastAsia="仿宋_GB2312" w:cs="仿宋_GB2312"/>
          <w:sz w:val="32"/>
          <w:shd w:val="clear" w:color="auto" w:fill="FFFFFF"/>
          <w:lang w:eastAsia="zh-CN"/>
        </w:rPr>
        <w:t>《关于新形势下党内政治生活的若干准则》</w:t>
      </w:r>
      <w:r>
        <w:rPr>
          <w:rFonts w:hint="eastAsia" w:ascii="仿宋_GB2312" w:hAnsi="仿宋_GB2312" w:eastAsia="仿宋_GB2312" w:cs="仿宋_GB2312"/>
          <w:sz w:val="32"/>
          <w:shd w:val="clear" w:color="auto" w:fill="FFFFFF"/>
        </w:rPr>
        <w:t>《中国共产党党内监督条例》《中国共产党纪律检查机关监督执纪工作规则（试行）》的学习，以道德为“高线”，以纪律为“底线”，进一步扎紧了管党治党的“笼子”。</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5、严明政治纪律和政治规矩</w:t>
      </w:r>
    </w:p>
    <w:p>
      <w:pPr>
        <w:ind w:firstLine="640" w:firstLineChars="200"/>
        <w:rPr>
          <w:rFonts w:hint="eastAsia" w:ascii="仿宋" w:hAnsi="仿宋" w:eastAsia="仿宋" w:cs="仿宋"/>
          <w:sz w:val="32"/>
          <w:szCs w:val="32"/>
        </w:rPr>
        <w:sectPr>
          <w:footerReference r:id="rId4" w:type="default"/>
          <w:pgSz w:w="11907" w:h="16839"/>
          <w:pgMar w:top="1531" w:right="1134" w:bottom="1474" w:left="1134" w:header="851" w:footer="992" w:gutter="0"/>
          <w:pgNumType w:start="1"/>
          <w:cols w:space="425" w:num="1"/>
          <w:docGrid w:type="lines" w:linePitch="312" w:charSpace="0"/>
        </w:sectPr>
      </w:pPr>
      <w:r>
        <w:rPr>
          <w:rFonts w:hint="eastAsia" w:ascii="仿宋_GB2312" w:hAnsi="仿宋_GB2312" w:eastAsia="仿宋_GB2312" w:cs="仿宋_GB2312"/>
          <w:sz w:val="32"/>
          <w:shd w:val="clear" w:color="auto" w:fill="FFFFFF"/>
        </w:rPr>
        <w:t>主要措施:重点治理以下十个方面的问题：一是散布违背党的理论和路线方针政策的意见，发表违背中央决定的言论；二是有令不行、有禁不止，在贯彻中央、省委和市委决策部署上打折扣、做选择、搞变通；三是泄露党和国家秘密；四是参加非组织活动；五是组织、支持、参加非法活动；六是制造、传播政治谣言及丑化党和国家领导人形象的言论；七是违反组织程序或超越权限，重大事项不按时请示报告；八是拉帮结派、搞小圈子、闹无原则纠纷、恶意中伤他人；九是对组织不忠诚老实，弄虚作假、阳奉阴违；十是任人唯亲、优亲厚友，谋取非法利益。</w:t>
      </w:r>
    </w:p>
    <w:p>
      <w:pPr>
        <w:jc w:val="center"/>
        <w:outlineLvl w:val="0"/>
        <w:rPr>
          <w:rFonts w:ascii="方正小标宋_GBK" w:eastAsia="方正小标宋_GBK"/>
          <w:color w:val="FFFFFF"/>
          <w:sz w:val="32"/>
        </w:rPr>
      </w:pPr>
      <w:bookmarkStart w:id="2" w:name="_Toc536176198"/>
      <w:r>
        <w:rPr>
          <w:rFonts w:hint="eastAsia" w:ascii="方正小标宋_GBK" w:eastAsia="方正小标宋_GBK"/>
          <w:sz w:val="32"/>
        </w:rPr>
        <w:t>部门职责-工作活动绩效目标</w:t>
      </w:r>
      <w:r>
        <w:rPr>
          <w:rStyle w:val="12"/>
          <w:rFonts w:ascii="方正小标宋_GBK" w:eastAsia="方正小标宋_GBK"/>
          <w:color w:val="FFFFFF"/>
          <w:sz w:val="32"/>
        </w:rPr>
        <w:footnoteReference w:id="0" w:customMarkFollows="1"/>
        <w:sym w:font="Symbol" w:char="F020"/>
      </w:r>
      <w:bookmarkEnd w:id="2"/>
    </w:p>
    <w:tbl>
      <w:tblPr>
        <w:tblStyle w:val="8"/>
        <w:tblW w:w="139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53"/>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98"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ascii="方正小标宋_GBK" w:eastAsia="方正小标宋_GBK"/>
                <w:sz w:val="24"/>
              </w:rPr>
              <w:t>222</w:t>
            </w:r>
            <w:r>
              <w:rPr>
                <w:rFonts w:hint="eastAsia" w:ascii="方正小标宋_GBK" w:eastAsia="方正小标宋_GBK"/>
                <w:sz w:val="24"/>
              </w:rPr>
              <w:t>纪检委</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53"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53" w:type="dxa"/>
            <w:vMerge w:val="continue"/>
            <w:shd w:val="clear" w:color="auto" w:fill="auto"/>
            <w:vAlign w:val="center"/>
          </w:tcPr>
          <w:p>
            <w:pPr>
              <w:spacing w:line="300" w:lineRule="exact"/>
              <w:jc w:val="left"/>
              <w:outlineLvl w:val="0"/>
            </w:pPr>
          </w:p>
        </w:tc>
        <w:tc>
          <w:tcPr>
            <w:tcW w:w="12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2976" w:type="dxa"/>
            <w:vMerge w:val="continue"/>
            <w:shd w:val="clear" w:color="auto" w:fill="auto"/>
            <w:vAlign w:val="center"/>
          </w:tcPr>
          <w:p>
            <w:pPr>
              <w:spacing w:line="300" w:lineRule="exact"/>
              <w:jc w:val="left"/>
              <w:outlineLvl w:val="0"/>
            </w:pPr>
          </w:p>
        </w:tc>
        <w:tc>
          <w:tcPr>
            <w:tcW w:w="1417" w:type="dxa"/>
            <w:vMerge w:val="continue"/>
            <w:shd w:val="clear" w:color="auto" w:fill="auto"/>
            <w:vAlign w:val="center"/>
          </w:tcPr>
          <w:p>
            <w:pPr>
              <w:spacing w:line="300" w:lineRule="exact"/>
              <w:jc w:val="left"/>
              <w:outlineLvl w:val="0"/>
            </w:pP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一、执纪问责</w:t>
            </w:r>
          </w:p>
        </w:tc>
        <w:tc>
          <w:tcPr>
            <w:tcW w:w="1276" w:type="dxa"/>
            <w:shd w:val="clear" w:color="auto" w:fill="auto"/>
            <w:vAlign w:val="center"/>
          </w:tcPr>
          <w:p>
            <w:pPr>
              <w:spacing w:line="300" w:lineRule="exact"/>
              <w:jc w:val="center"/>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受理信访、举报，集中管理问题线索、组织协调案件查办，调查、审查违纪违法案件，对案件审理提出处理意见。</w:t>
            </w:r>
          </w:p>
        </w:tc>
        <w:tc>
          <w:tcPr>
            <w:tcW w:w="2976"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、纪律审查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对有关对象违反党纪政纪和违纪违法行为进行处理；组织协调案件查办工作。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维护党纪国法尊严，坚决惩处腐败分子，有效遏制腐败现象。</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、线索管理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受理信访、举报，集中管理问题线索。</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线索管理规范有序、处置合理，为案件查办奠定基础。</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线索收集成效率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二、党风廉政建设</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负责组织协调全县党风廉政建设和反腐败宣传工作，组织开展相关法律法规、理论政策、形势任务、决策部署、成效经验和先进典型等宣传及舆论引导工作</w:t>
            </w:r>
            <w:r>
              <w:rPr>
                <w:rFonts w:ascii="方正书宋_GBK" w:eastAsia="方正书宋_GBK"/>
              </w:rPr>
              <w:t>;</w:t>
            </w:r>
            <w:r>
              <w:rPr>
                <w:rFonts w:hint="eastAsia" w:ascii="方正书宋_GBK" w:eastAsia="方正书宋_GBK"/>
              </w:rPr>
              <w:t>协调全县党风廉政建设和反腐败教育工作，开展对党员、公务员的理想信念和宗旨教育、党风党纪和廉洁自律教育，组织协调廉政文化建设及纪检监察电化教育工作。综合协调政治纪律的执行和作风建设规定、廉洁自律规定的落实，开展有关党风政风监督专项检查，综合协调对违反作风建设规定问题的查处。</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积极发挥职能作用，加强党风廉政建设，营造风清气正、干事创业的工作氛围</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、反腐倡廉教育</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组织协调党风廉政建设和反腐败宣传教育工作，开展廉洁自律教育。</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充分发挥正面典型的示范作用和反面典型的警示作用，促进各级干部廉洁从政</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教育活动落实率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、预防腐败工作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承担县委惩治和预防腐败体系领导小组办公室的日常工作，积极开展预防腐败政策理论及重大课题等调查研究工作。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认真查找腐败问题易发多发的重点领域和关键环节，研究分析腐败现象的规律，制定针对性强的防控措施。</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预防工作成效率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、监督检查</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监督检查党内法规政策、国家法律法规、党风廉政建设等的执行情况；履行纠正行业不正之风办公室职能；贯彻落实有关部署，开展常态化全覆盖监督。</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加大问责力度，促进</w:t>
            </w:r>
            <w:r>
              <w:rPr>
                <w:rFonts w:hint="cs" w:ascii="方正书宋_GBK" w:eastAsia="方正书宋_GBK"/>
              </w:rPr>
              <w:t>“</w:t>
            </w:r>
            <w:r>
              <w:rPr>
                <w:rFonts w:hint="eastAsia" w:ascii="方正书宋_GBK" w:eastAsia="方正书宋_GBK"/>
              </w:rPr>
              <w:t>两个责任</w:t>
            </w:r>
            <w:r>
              <w:rPr>
                <w:rFonts w:hint="cs" w:ascii="方正书宋_GBK" w:eastAsia="方正书宋_GBK"/>
              </w:rPr>
              <w:t>”</w:t>
            </w:r>
            <w:r>
              <w:rPr>
                <w:rFonts w:hint="eastAsia" w:ascii="方正书宋_GBK" w:eastAsia="方正书宋_GBK"/>
              </w:rPr>
              <w:t>有效落实</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监督工作完成率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三、督促检查及综合协调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督促检查中央纪委（国家监委），省纪委（省监察委）、市纪委（市监察委）和县委、县政府领导批办交办事项的落实情况，以及县纪委全委会工作部署和县纪委</w:t>
            </w:r>
            <w:r>
              <w:rPr>
                <w:rFonts w:hint="eastAsia" w:ascii="方正书宋_GBK" w:eastAsia="方正书宋_GBK"/>
                <w:lang w:eastAsia="zh-CN"/>
              </w:rPr>
              <w:t>常委会会议</w:t>
            </w:r>
            <w:r>
              <w:rPr>
                <w:rFonts w:hint="eastAsia" w:ascii="方正书宋_GBK" w:eastAsia="方正书宋_GBK"/>
              </w:rPr>
              <w:t>、书记办公会、监委主任办公会议决定事项及委领导批办交办事项的落实情况。</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加大监督检查力度，促进综合协调发展。</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、巡察监督</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做好省委巡视组、市委巡察、县委巡察工作联络组的服务保障工作。研究开展全县巡察工作，探索工作规律，发现工作问题，提出改进措施。</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巡察监督常态化、全覆盖。</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巡察工作完成率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四、纪检事务管理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纪检政策宣传，办公场所运行维护，负责在纪（监）委机关宣传和执行党的路线方针政策和上级党组织的决议，组织党员学习政治理论、法律法规等，推进学习型党组织建设</w:t>
            </w:r>
            <w:r>
              <w:rPr>
                <w:rFonts w:ascii="方正书宋_GBK" w:eastAsia="方正书宋_GBK"/>
              </w:rPr>
              <w:t>;</w:t>
            </w:r>
            <w:r>
              <w:rPr>
                <w:rFonts w:hint="eastAsia" w:ascii="方正书宋_GBK" w:eastAsia="方正书宋_GBK"/>
              </w:rPr>
              <w:t>负责纪（监）委机关局域网和视频会议系统的建设、运行、维护和管理，负责计算机终端维护、管理和其他技术服务保障工作</w:t>
            </w:r>
            <w:r>
              <w:rPr>
                <w:rFonts w:ascii="方正书宋_GBK" w:eastAsia="方正书宋_GBK"/>
              </w:rPr>
              <w:t>;</w:t>
            </w:r>
            <w:r>
              <w:rPr>
                <w:rFonts w:hint="eastAsia" w:ascii="方正书宋_GBK" w:eastAsia="方正书宋_GBK"/>
              </w:rPr>
              <w:t>及纪（监）委机关后勤管理和服务工作。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为纪律审查、纪检监察业务、党风廉政建设提供服务和保障。</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、综合事务管理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宣传党的纪检工作方针、政策，教育纪检干部遵守和执行党章以及党内法规、党的路线方针政策和决议、国家法规等，全面提高纪检监察干部队伍素质；负责办公场所运行维护。负责机关管理和后勤工作及机关</w:t>
            </w:r>
            <w:r>
              <w:rPr>
                <w:rFonts w:ascii="方正书宋_GBK" w:eastAsia="方正书宋_GBK"/>
              </w:rPr>
              <w:t>,</w:t>
            </w:r>
            <w:r>
              <w:rPr>
                <w:rFonts w:hint="eastAsia" w:ascii="方正书宋_GBK" w:eastAsia="方正书宋_GBK"/>
              </w:rPr>
              <w:t>直属单位财务管理</w:t>
            </w:r>
            <w:r>
              <w:rPr>
                <w:rFonts w:ascii="方正书宋_GBK" w:eastAsia="方正书宋_GBK"/>
              </w:rPr>
              <w:t>,</w:t>
            </w:r>
            <w:r>
              <w:rPr>
                <w:rFonts w:hint="eastAsia" w:ascii="方正书宋_GBK" w:eastAsia="方正书宋_GBK"/>
              </w:rPr>
              <w:t>国有资产管理和安全保卫工作。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为纪律审查、纪检监察业务、党风廉政建设提供服务和保障。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综合事物保障率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100%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、信息网络管理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55.00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负责纪检监察信息化软件及网站的建设</w:t>
            </w:r>
            <w:r>
              <w:rPr>
                <w:rFonts w:ascii="方正书宋_GBK" w:eastAsia="方正书宋_GBK"/>
              </w:rPr>
              <w:t>,</w:t>
            </w:r>
            <w:r>
              <w:rPr>
                <w:rFonts w:hint="eastAsia" w:ascii="方正书宋_GBK" w:eastAsia="方正书宋_GBK"/>
              </w:rPr>
              <w:t>运行和维护以及建设管理全县纪检监察系统惩防体系综合信息平台。</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为纪律审查、纪检监察业务、党风廉政建设提供服务和保障。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网络畅通率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、机关党组织工作</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负责机关宣传和执行党的路线方针政策组织党员政治理论学习</w:t>
            </w:r>
            <w:r>
              <w:rPr>
                <w:rFonts w:ascii="方正书宋_GBK" w:eastAsia="方正书宋_GBK"/>
              </w:rPr>
              <w:t>,</w:t>
            </w:r>
            <w:r>
              <w:rPr>
                <w:rFonts w:hint="eastAsia" w:ascii="方正书宋_GBK" w:eastAsia="方正书宋_GBK"/>
              </w:rPr>
              <w:t>开展党员思想政治工作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为纪律审查、纪检监察业务、党风廉政建设提供服务和保障。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综合事物率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五、纪检监察系统管理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全县纪检监察系统领导班子建设、干部队伍建设和组织建设的综合规划、政策研究和制度建设。负责纪（监）委机关各部门及直属单位领导班子和干部队伍建设，承办有关机构编制、干部人事、人员档案、工资福利等工作，配合机关党委督促机关各部门及直属单位加强干部日常管理和监督</w:t>
            </w:r>
            <w:r>
              <w:rPr>
                <w:rFonts w:ascii="方正书宋_GBK" w:eastAsia="方正书宋_GBK"/>
              </w:rPr>
              <w:t>;</w:t>
            </w:r>
            <w:r>
              <w:rPr>
                <w:rFonts w:hint="eastAsia" w:ascii="方正书宋_GBK" w:eastAsia="方正书宋_GBK"/>
              </w:rPr>
              <w:t>及干部教育培训工作等。</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加强全县纪检监察系统领导班子、干部队伍和组织建设，打造一支高素质、高水平的纪检监察干部队伍。</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、纪检系统管理</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加强全县纪检监察系统领导班子、干部队伍和组织建设，打造一支高素质、高水平的纪检监察干部队伍。</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加强全县纪检监察系统领导班子、干部队伍和组织建设，打造一支高素质、高水平的纪检监察干部队伍</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纪检监察干部合格率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六、综合监察监督管理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负责对县管干部问题线索进行集中管理，并分送相关纪检监察室，协助办理县管干部任职前回复县委组织部意见工作</w:t>
            </w:r>
            <w:r>
              <w:rPr>
                <w:rFonts w:ascii="方正书宋_GBK" w:eastAsia="方正书宋_GBK"/>
              </w:rPr>
              <w:t>;</w:t>
            </w:r>
            <w:r>
              <w:rPr>
                <w:rFonts w:hint="eastAsia" w:ascii="方正书宋_GBK" w:eastAsia="方正书宋_GBK"/>
              </w:rPr>
              <w:t>监督检查全县纪检监察系统干部遵守和执行党章以及其他党内法规，遵守和执行党的路线方针政策和决议、国家法律法规等方面的情况</w:t>
            </w:r>
            <w:r>
              <w:rPr>
                <w:rFonts w:ascii="方正书宋_GBK" w:eastAsia="方正书宋_GBK"/>
              </w:rPr>
              <w:t>;</w:t>
            </w:r>
            <w:r>
              <w:rPr>
                <w:rFonts w:hint="eastAsia" w:ascii="方正书宋_GBK" w:eastAsia="方正书宋_GBK"/>
              </w:rPr>
              <w:t>协助党委制定惩治和预防腐败体系工作规划实施意见，综合协调责任单位落实任务分工，组织协调重要监督检查活动和考核工作。</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监察监督全覆盖。</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、案件监督管理</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对依纪依法安全办案情况进行监督检查，对纪（监）委办案场所的安全保密工作进行监督检查，落实办案安全责任制。</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受理下级纪检机关线索处置和查办报告及督促案件安全查办和责任追究</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监察监督案件覆盖率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、监察干部监督</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受理全县纪检监察系统干部违纪违法问题的举报，负责问题线索的初核及案件的审查工作，提出处理建议。</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加强纪检监察干部监督，指导监察干部监督工作</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监察监督纪检监察干部覆盖率</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90%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80%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以上</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70%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七、查办职务犯罪</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通过查办职务犯罪案件，促进国家工作人员依法行使职权。</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依法严惩职务犯罪。</w:t>
            </w:r>
          </w:p>
        </w:tc>
        <w:tc>
          <w:tcPr>
            <w:tcW w:w="1417" w:type="dxa"/>
            <w:shd w:val="clear" w:color="auto" w:fill="auto"/>
            <w:vAlign w:val="center"/>
          </w:tcPr>
          <w:p>
            <w:pPr>
              <w:spacing w:line="300" w:lineRule="exact"/>
              <w:jc w:val="left"/>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c>
          <w:tcPr>
            <w:tcW w:w="737" w:type="dxa"/>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53" w:type="dxa"/>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、查办职务犯罪</w:t>
            </w:r>
          </w:p>
        </w:tc>
        <w:tc>
          <w:tcPr>
            <w:tcW w:w="1276" w:type="dxa"/>
            <w:shd w:val="clear" w:color="auto" w:fill="auto"/>
            <w:vAlign w:val="center"/>
          </w:tcPr>
          <w:p>
            <w:pPr>
              <w:spacing w:line="300" w:lineRule="exact"/>
              <w:jc w:val="left"/>
              <w:rPr>
                <w:rFonts w:ascii="方正书宋_GBK" w:eastAsia="方正书宋_GBK"/>
              </w:rPr>
            </w:pP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参与办理重大职务犯罪案件的调查及个案调查工作；分析全县职务犯罪的特点和规律，提出对策；办理全县在逃职务犯罪案件追逃追赃工作，推进办案信息化和装备现代化建设。</w:t>
            </w:r>
          </w:p>
        </w:tc>
        <w:tc>
          <w:tcPr>
            <w:tcW w:w="29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案件查结率</w:t>
            </w:r>
          </w:p>
        </w:tc>
        <w:tc>
          <w:tcPr>
            <w:tcW w:w="1417"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结案件数占同期立案案件的比例</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65%</w:t>
            </w:r>
          </w:p>
        </w:tc>
        <w:tc>
          <w:tcPr>
            <w:tcW w:w="737"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55%</w:t>
            </w:r>
          </w:p>
        </w:tc>
        <w:tc>
          <w:tcPr>
            <w:tcW w:w="737" w:type="dxa"/>
            <w:shd w:val="clear" w:color="auto" w:fill="auto"/>
            <w:vAlign w:val="center"/>
          </w:tcPr>
          <w:p>
            <w:pPr>
              <w:spacing w:line="300" w:lineRule="exact"/>
              <w:jc w:val="center"/>
              <w:rPr>
                <w:rFonts w:ascii="方正书宋_GBK" w:eastAsia="方正书宋_GBK"/>
              </w:rPr>
            </w:pPr>
            <w:r>
              <w:rPr>
                <w:rFonts w:ascii="方正书宋_GBK" w:eastAsia="方正书宋_GBK"/>
              </w:rPr>
              <w:t>&lt;55%</w:t>
            </w:r>
          </w:p>
        </w:tc>
        <w:tc>
          <w:tcPr>
            <w:tcW w:w="737" w:type="dxa"/>
            <w:shd w:val="clear" w:color="auto" w:fill="auto"/>
            <w:vAlign w:val="center"/>
          </w:tcPr>
          <w:p>
            <w:pPr>
              <w:spacing w:line="300" w:lineRule="exact"/>
              <w:jc w:val="center"/>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2019年我单位没有安排政府采购预算，政府采购预算金额为0万元。</w:t>
      </w:r>
    </w:p>
    <w:p>
      <w:pPr>
        <w:spacing w:line="540" w:lineRule="exact"/>
        <w:jc w:val="center"/>
        <w:outlineLvl w:val="0"/>
        <w:rPr>
          <w:rFonts w:ascii="方正小标宋_GBK" w:hAnsi="Times New Roman" w:cs="Times New Roman"/>
          <w:sz w:val="32"/>
          <w:szCs w:val="24"/>
        </w:rPr>
      </w:pPr>
      <w:r>
        <w:rPr>
          <w:rFonts w:ascii="方正小标宋_GBK" w:hAnsi="Times New Roman"/>
          <w:sz w:val="32"/>
        </w:rPr>
        <w:t>部门政府采购预算</w:t>
      </w:r>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hAnsi="方正小标宋_GBK" w:cs="Times New Roman"/>
                <w:sz w:val="24"/>
              </w:rPr>
            </w:pPr>
            <w:r>
              <w:rPr>
                <w:rFonts w:hint="eastAsia" w:ascii="方正小标宋_GBK" w:hAnsi="方正小标宋_GBK"/>
                <w:sz w:val="24"/>
              </w:rPr>
              <w:t>222赞皇县纪检委</w:t>
            </w:r>
          </w:p>
        </w:tc>
        <w:tc>
          <w:tcPr>
            <w:tcW w:w="6693"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政府采购项目来源</w:t>
            </w:r>
          </w:p>
        </w:tc>
        <w:tc>
          <w:tcPr>
            <w:tcW w:w="97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采购物品名称</w:t>
            </w:r>
          </w:p>
        </w:tc>
        <w:tc>
          <w:tcPr>
            <w:tcW w:w="98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政府采购目录序号</w:t>
            </w:r>
          </w:p>
        </w:tc>
        <w:tc>
          <w:tcPr>
            <w:tcW w:w="76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数量  单位</w:t>
            </w:r>
          </w:p>
        </w:tc>
        <w:tc>
          <w:tcPr>
            <w:tcW w:w="76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数量</w:t>
            </w:r>
          </w:p>
        </w:tc>
        <w:tc>
          <w:tcPr>
            <w:tcW w:w="8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单价</w:t>
            </w:r>
          </w:p>
        </w:tc>
        <w:tc>
          <w:tcPr>
            <w:tcW w:w="6693" w:type="dxa"/>
            <w:gridSpan w:val="7"/>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项目名称</w:t>
            </w:r>
          </w:p>
        </w:tc>
        <w:tc>
          <w:tcPr>
            <w:tcW w:w="109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预算资金</w:t>
            </w:r>
          </w:p>
        </w:tc>
        <w:tc>
          <w:tcPr>
            <w:tcW w:w="9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8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8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总计</w:t>
            </w:r>
          </w:p>
        </w:tc>
        <w:tc>
          <w:tcPr>
            <w:tcW w:w="4811"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当年部门预算安排资金</w:t>
            </w:r>
          </w:p>
        </w:tc>
        <w:tc>
          <w:tcPr>
            <w:tcW w:w="92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10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8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8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合计</w:t>
            </w: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一般公共预算拨款</w:t>
            </w: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其他来源收入</w:t>
            </w:r>
          </w:p>
        </w:tc>
        <w:tc>
          <w:tcPr>
            <w:tcW w:w="92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合　计</w:t>
            </w:r>
          </w:p>
        </w:tc>
        <w:tc>
          <w:tcPr>
            <w:tcW w:w="10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8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rPr>
            </w:pPr>
            <w:r>
              <w:rPr>
                <w:rFonts w:hint="eastAsia" w:ascii="方正书宋_GBK" w:eastAsia="方正书宋_GBK"/>
              </w:rPr>
              <w:t>无</w:t>
            </w:r>
          </w:p>
        </w:tc>
        <w:tc>
          <w:tcPr>
            <w:tcW w:w="10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8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r>
      <w:bookmarkEnd w:id="1"/>
    </w:tbl>
    <w:p>
      <w:pPr>
        <w:autoSpaceDE w:val="0"/>
        <w:autoSpaceDN w:val="0"/>
        <w:adjustRightInd w:val="0"/>
        <w:ind w:firstLine="640" w:firstLineChars="200"/>
        <w:jc w:val="left"/>
        <w:rPr>
          <w:rFonts w:ascii="黑体" w:hAnsi="黑体" w:eastAsia="黑体" w:cs="Times New Roman"/>
          <w:sz w:val="32"/>
          <w:szCs w:val="32"/>
        </w:rPr>
        <w:sectPr>
          <w:footerReference r:id="rId5" w:type="default"/>
          <w:pgSz w:w="16838" w:h="11906" w:orient="landscape"/>
          <w:pgMar w:top="1800" w:right="1440" w:bottom="1800" w:left="1440" w:header="851" w:footer="992" w:gutter="0"/>
          <w:cols w:space="425"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赞皇县纪检委上年末固定资产金额为168.75万元（详见下表），本年度拟购置固定资产总额为0万元。</w:t>
      </w:r>
    </w:p>
    <w:p>
      <w:pPr>
        <w:ind w:firstLine="640" w:firstLineChars="200"/>
        <w:rPr>
          <w:rFonts w:ascii="仿宋" w:hAnsi="仿宋" w:eastAsia="仿宋" w:cs="仿宋"/>
          <w:color w:val="FF0000"/>
          <w:sz w:val="32"/>
          <w:szCs w:val="32"/>
        </w:rPr>
      </w:pPr>
    </w:p>
    <w:tbl>
      <w:tblPr>
        <w:tblStyle w:val="8"/>
        <w:tblW w:w="9158" w:type="dxa"/>
        <w:tblInd w:w="-34" w:type="dxa"/>
        <w:tblLayout w:type="fixed"/>
        <w:tblCellMar>
          <w:top w:w="0" w:type="dxa"/>
          <w:left w:w="108" w:type="dxa"/>
          <w:bottom w:w="0" w:type="dxa"/>
          <w:right w:w="108" w:type="dxa"/>
        </w:tblCellMar>
      </w:tblPr>
      <w:tblGrid>
        <w:gridCol w:w="3544"/>
        <w:gridCol w:w="2212"/>
        <w:gridCol w:w="3402"/>
      </w:tblGrid>
      <w:tr>
        <w:tblPrEx>
          <w:tblCellMar>
            <w:top w:w="0" w:type="dxa"/>
            <w:left w:w="108" w:type="dxa"/>
            <w:bottom w:w="0" w:type="dxa"/>
            <w:right w:w="108" w:type="dxa"/>
          </w:tblCellMar>
        </w:tblPrEx>
        <w:trPr>
          <w:trHeight w:val="705" w:hRule="atLeast"/>
        </w:trPr>
        <w:tc>
          <w:tcPr>
            <w:tcW w:w="9158"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赞皇县县直部门固定资产占用情况表</w:t>
            </w:r>
          </w:p>
        </w:tc>
      </w:tr>
      <w:tr>
        <w:tblPrEx>
          <w:tblCellMar>
            <w:top w:w="0" w:type="dxa"/>
            <w:left w:w="108" w:type="dxa"/>
            <w:bottom w:w="0" w:type="dxa"/>
            <w:right w:w="108" w:type="dxa"/>
          </w:tblCellMar>
        </w:tblPrEx>
        <w:trPr>
          <w:trHeight w:val="510" w:hRule="atLeast"/>
        </w:trPr>
        <w:tc>
          <w:tcPr>
            <w:tcW w:w="5756"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编制部门：赞皇县纪检委</w:t>
            </w:r>
          </w:p>
        </w:tc>
        <w:tc>
          <w:tcPr>
            <w:tcW w:w="3402"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截止时间：2018年12月31日  </w:t>
            </w:r>
          </w:p>
        </w:tc>
      </w:tr>
      <w:tr>
        <w:tblPrEx>
          <w:tblCellMar>
            <w:top w:w="0" w:type="dxa"/>
            <w:left w:w="108" w:type="dxa"/>
            <w:bottom w:w="0" w:type="dxa"/>
            <w:right w:w="108" w:type="dxa"/>
          </w:tblCellMar>
        </w:tblPrEx>
        <w:trPr>
          <w:trHeight w:val="645" w:hRule="atLeast"/>
        </w:trPr>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2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22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168.75</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7</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97.4</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71.35</w:t>
            </w:r>
          </w:p>
        </w:tc>
      </w:tr>
    </w:tbl>
    <w:p>
      <w:pPr>
        <w:ind w:firstLine="640" w:firstLineChars="200"/>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1、一般公共预算拨款收入：指县级财政当年拨付的资金。</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2、基本支出：指为保障机构正常运转、完成日常工作任务而发生的人员支出和公用支出。</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3、项目支出：指在基本支出之外为完成特定行政任务和事业发展目标所发生的支出。</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4、“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5、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6、执纪：是指纪检监察机关对党组织和党员违反党章和其他党内法规，违反国家法律、法规，违反党和国家政策、社会主义道德，危害党、国家和人民利益的行为，依照规定给予党纪政纪处分的行为。</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7、纪律审查：是要审查违纪行为尤其是违反政治纪律和政治规矩、组织纪律的行为。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我部门无其他需要说明的事项。</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r>
        <w:rPr>
          <w:rStyle w:val="12"/>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0297"/>
    <w:rsid w:val="00024976"/>
    <w:rsid w:val="00034786"/>
    <w:rsid w:val="00037AF6"/>
    <w:rsid w:val="00042F57"/>
    <w:rsid w:val="0006483E"/>
    <w:rsid w:val="00075D5F"/>
    <w:rsid w:val="0008102F"/>
    <w:rsid w:val="000B529B"/>
    <w:rsid w:val="000C2037"/>
    <w:rsid w:val="000C3A19"/>
    <w:rsid w:val="001245BB"/>
    <w:rsid w:val="001251A3"/>
    <w:rsid w:val="00165294"/>
    <w:rsid w:val="0017381C"/>
    <w:rsid w:val="00185505"/>
    <w:rsid w:val="00186695"/>
    <w:rsid w:val="00191585"/>
    <w:rsid w:val="001B4EF3"/>
    <w:rsid w:val="001C1DB7"/>
    <w:rsid w:val="001C53F6"/>
    <w:rsid w:val="001F7873"/>
    <w:rsid w:val="00241FD4"/>
    <w:rsid w:val="00246285"/>
    <w:rsid w:val="00251B12"/>
    <w:rsid w:val="00296113"/>
    <w:rsid w:val="002A673A"/>
    <w:rsid w:val="002C07BE"/>
    <w:rsid w:val="002C5E13"/>
    <w:rsid w:val="002C62BC"/>
    <w:rsid w:val="002E0EB8"/>
    <w:rsid w:val="002F3E58"/>
    <w:rsid w:val="00302D62"/>
    <w:rsid w:val="0030542C"/>
    <w:rsid w:val="00311B7A"/>
    <w:rsid w:val="0032015C"/>
    <w:rsid w:val="00372FA3"/>
    <w:rsid w:val="00395B9F"/>
    <w:rsid w:val="003C372F"/>
    <w:rsid w:val="003D417F"/>
    <w:rsid w:val="003F60E9"/>
    <w:rsid w:val="004025B6"/>
    <w:rsid w:val="004147A1"/>
    <w:rsid w:val="004248B8"/>
    <w:rsid w:val="00424943"/>
    <w:rsid w:val="0043175C"/>
    <w:rsid w:val="00437296"/>
    <w:rsid w:val="00451590"/>
    <w:rsid w:val="00451871"/>
    <w:rsid w:val="004631FC"/>
    <w:rsid w:val="004706DE"/>
    <w:rsid w:val="00471A85"/>
    <w:rsid w:val="00472923"/>
    <w:rsid w:val="00496109"/>
    <w:rsid w:val="004B0C3A"/>
    <w:rsid w:val="004D5788"/>
    <w:rsid w:val="004E3066"/>
    <w:rsid w:val="004E74CD"/>
    <w:rsid w:val="00516E04"/>
    <w:rsid w:val="005454E7"/>
    <w:rsid w:val="00565588"/>
    <w:rsid w:val="00572067"/>
    <w:rsid w:val="00573562"/>
    <w:rsid w:val="00590C1B"/>
    <w:rsid w:val="00590ECE"/>
    <w:rsid w:val="00592ADD"/>
    <w:rsid w:val="005C0BF3"/>
    <w:rsid w:val="00614A29"/>
    <w:rsid w:val="00643AA7"/>
    <w:rsid w:val="00673D76"/>
    <w:rsid w:val="00674CD7"/>
    <w:rsid w:val="006854F0"/>
    <w:rsid w:val="006A6105"/>
    <w:rsid w:val="006B1C4A"/>
    <w:rsid w:val="006B610D"/>
    <w:rsid w:val="006E49F5"/>
    <w:rsid w:val="006E7D2F"/>
    <w:rsid w:val="007013C8"/>
    <w:rsid w:val="00717B1E"/>
    <w:rsid w:val="00753836"/>
    <w:rsid w:val="0075393C"/>
    <w:rsid w:val="00754592"/>
    <w:rsid w:val="00760B3A"/>
    <w:rsid w:val="00776C08"/>
    <w:rsid w:val="007848D7"/>
    <w:rsid w:val="00797EE0"/>
    <w:rsid w:val="007C219A"/>
    <w:rsid w:val="007E1DA8"/>
    <w:rsid w:val="007F6C26"/>
    <w:rsid w:val="00813208"/>
    <w:rsid w:val="008239B7"/>
    <w:rsid w:val="008334AE"/>
    <w:rsid w:val="00836FED"/>
    <w:rsid w:val="0083724E"/>
    <w:rsid w:val="00845CD2"/>
    <w:rsid w:val="00852B0D"/>
    <w:rsid w:val="00881692"/>
    <w:rsid w:val="00883D1A"/>
    <w:rsid w:val="008A25C2"/>
    <w:rsid w:val="008A6576"/>
    <w:rsid w:val="008B3CC5"/>
    <w:rsid w:val="008B52CD"/>
    <w:rsid w:val="008C0108"/>
    <w:rsid w:val="008C1142"/>
    <w:rsid w:val="008E4261"/>
    <w:rsid w:val="008F4662"/>
    <w:rsid w:val="00905D08"/>
    <w:rsid w:val="00922AEB"/>
    <w:rsid w:val="00925753"/>
    <w:rsid w:val="009425F4"/>
    <w:rsid w:val="00966C5C"/>
    <w:rsid w:val="00967F70"/>
    <w:rsid w:val="00973104"/>
    <w:rsid w:val="00995BF0"/>
    <w:rsid w:val="009A16D5"/>
    <w:rsid w:val="009A353D"/>
    <w:rsid w:val="009B0B77"/>
    <w:rsid w:val="009B511E"/>
    <w:rsid w:val="009B69D5"/>
    <w:rsid w:val="009D498D"/>
    <w:rsid w:val="009F232F"/>
    <w:rsid w:val="00A36BAE"/>
    <w:rsid w:val="00A44E3D"/>
    <w:rsid w:val="00A5323A"/>
    <w:rsid w:val="00A72D2E"/>
    <w:rsid w:val="00A74447"/>
    <w:rsid w:val="00A74CE5"/>
    <w:rsid w:val="00A77F07"/>
    <w:rsid w:val="00A8797E"/>
    <w:rsid w:val="00A911E7"/>
    <w:rsid w:val="00A939D9"/>
    <w:rsid w:val="00AA1B25"/>
    <w:rsid w:val="00AA5352"/>
    <w:rsid w:val="00AA6D99"/>
    <w:rsid w:val="00AD2B0A"/>
    <w:rsid w:val="00B07D9E"/>
    <w:rsid w:val="00B1040A"/>
    <w:rsid w:val="00B20712"/>
    <w:rsid w:val="00B43238"/>
    <w:rsid w:val="00B45DD3"/>
    <w:rsid w:val="00B52632"/>
    <w:rsid w:val="00B727A9"/>
    <w:rsid w:val="00B75216"/>
    <w:rsid w:val="00B91D52"/>
    <w:rsid w:val="00B93AB8"/>
    <w:rsid w:val="00B9490F"/>
    <w:rsid w:val="00BA11B0"/>
    <w:rsid w:val="00BA1ACD"/>
    <w:rsid w:val="00BD09F8"/>
    <w:rsid w:val="00C46C14"/>
    <w:rsid w:val="00C8221E"/>
    <w:rsid w:val="00CA7176"/>
    <w:rsid w:val="00CB3D48"/>
    <w:rsid w:val="00CB4665"/>
    <w:rsid w:val="00CC75B0"/>
    <w:rsid w:val="00CD2773"/>
    <w:rsid w:val="00CE143B"/>
    <w:rsid w:val="00D0024A"/>
    <w:rsid w:val="00D25078"/>
    <w:rsid w:val="00D27003"/>
    <w:rsid w:val="00DB4A9B"/>
    <w:rsid w:val="00DC61D7"/>
    <w:rsid w:val="00E142C8"/>
    <w:rsid w:val="00E15091"/>
    <w:rsid w:val="00E167C7"/>
    <w:rsid w:val="00E2482E"/>
    <w:rsid w:val="00E26EC9"/>
    <w:rsid w:val="00E7137E"/>
    <w:rsid w:val="00E73D47"/>
    <w:rsid w:val="00EA74D2"/>
    <w:rsid w:val="00EC47F6"/>
    <w:rsid w:val="00EC4F3D"/>
    <w:rsid w:val="00EE156D"/>
    <w:rsid w:val="00EE65B8"/>
    <w:rsid w:val="00F149E2"/>
    <w:rsid w:val="00F66032"/>
    <w:rsid w:val="00F87C1E"/>
    <w:rsid w:val="00F958C2"/>
    <w:rsid w:val="00FF3258"/>
    <w:rsid w:val="01173D15"/>
    <w:rsid w:val="1341364F"/>
    <w:rsid w:val="182868AE"/>
    <w:rsid w:val="1E942934"/>
    <w:rsid w:val="207E75C2"/>
    <w:rsid w:val="20D4009E"/>
    <w:rsid w:val="32F330A4"/>
    <w:rsid w:val="36801CC7"/>
    <w:rsid w:val="4A267ED2"/>
    <w:rsid w:val="544019BE"/>
    <w:rsid w:val="5DD64908"/>
    <w:rsid w:val="636C1DD3"/>
    <w:rsid w:val="64B956CA"/>
    <w:rsid w:val="71F02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unhideWhenUsed/>
    <w:qFormat/>
    <w:uiPriority w:val="0"/>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unhideWhenUsed/>
    <w:qFormat/>
    <w:uiPriority w:val="0"/>
  </w:style>
  <w:style w:type="character" w:styleId="11">
    <w:name w:val="Hyperlink"/>
    <w:unhideWhenUsed/>
    <w:qFormat/>
    <w:uiPriority w:val="99"/>
    <w:rPr>
      <w:color w:val="0000FF"/>
      <w:u w:val="single"/>
    </w:rPr>
  </w:style>
  <w:style w:type="character" w:styleId="12">
    <w:name w:val="footnote reference"/>
    <w:unhideWhenUsed/>
    <w:qFormat/>
    <w:uiPriority w:val="0"/>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2358-F049-4F65-848B-1021BBE4BF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1421</Words>
  <Characters>8101</Characters>
  <Lines>67</Lines>
  <Paragraphs>19</Paragraphs>
  <TotalTime>11</TotalTime>
  <ScaleCrop>false</ScaleCrop>
  <LinksUpToDate>false</LinksUpToDate>
  <CharactersWithSpaces>9503</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何来去</cp:lastModifiedBy>
  <cp:lastPrinted>2019-02-25T02:56:00Z</cp:lastPrinted>
  <dcterms:modified xsi:type="dcterms:W3CDTF">2024-01-15T08:03:26Z</dcterms:modified>
  <dc:title>河北省财政厅2019年部门预算信息公开情况说明</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D2F144EC762D4C80814236F8A58A1E00</vt:lpwstr>
  </property>
</Properties>
</file>